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34" w:rsidRPr="00F25005" w:rsidRDefault="00B42534" w:rsidP="00DD6E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F25005">
        <w:rPr>
          <w:rFonts w:ascii="Times New Roman" w:hAnsi="Times New Roman" w:cs="Times New Roman"/>
          <w:b/>
          <w:sz w:val="20"/>
          <w:szCs w:val="20"/>
          <w:lang w:val="en-GB"/>
        </w:rPr>
        <w:t xml:space="preserve">Returnstar IQ </w:t>
      </w:r>
      <w:r w:rsidR="00E74809" w:rsidRPr="00F25005">
        <w:rPr>
          <w:rFonts w:ascii="Times New Roman" w:hAnsi="Times New Roman" w:cs="Times New Roman"/>
          <w:b/>
          <w:sz w:val="20"/>
          <w:szCs w:val="20"/>
          <w:lang w:val="en-GB"/>
        </w:rPr>
        <w:t>Touch LE065MD (Mod J 4K)</w:t>
      </w:r>
    </w:p>
    <w:p w:rsidR="00B42534" w:rsidRPr="00F25005" w:rsidRDefault="00B42534" w:rsidP="00DD6E5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p w:rsidR="00B42534" w:rsidRPr="00417A02" w:rsidRDefault="00B42534" w:rsidP="00B4253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Parametry techniczne</w:t>
      </w:r>
    </w:p>
    <w:tbl>
      <w:tblPr>
        <w:tblStyle w:val="Tabela-Siatka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0064"/>
      </w:tblGrid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pStyle w:val="Akapitzli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b/>
                <w:sz w:val="20"/>
                <w:szCs w:val="20"/>
              </w:rPr>
              <w:t>Parametr obowiązkowy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4" w:type="dxa"/>
            <w:vAlign w:val="center"/>
          </w:tcPr>
          <w:p w:rsidR="00B42534" w:rsidRPr="00417A02" w:rsidRDefault="0070739A" w:rsidP="00BD52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Wielkość monitora: min. 65” (format obrazu 16:9).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4" w:type="dxa"/>
            <w:vAlign w:val="center"/>
          </w:tcPr>
          <w:p w:rsidR="00B42534" w:rsidRPr="00417A02" w:rsidRDefault="0070739A" w:rsidP="0022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Rozdzielczość monitora: min. 3840 x 2160 (4K)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4" w:type="dxa"/>
            <w:vAlign w:val="center"/>
          </w:tcPr>
          <w:p w:rsidR="00B42534" w:rsidRPr="0070739A" w:rsidRDefault="0070739A" w:rsidP="007073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Jasność matrycy: min. 400 cd / 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kontrast: min. 5000:1, czas reakcji matrycy (typowy): max 5 ms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4" w:type="dxa"/>
            <w:vAlign w:val="center"/>
          </w:tcPr>
          <w:p w:rsidR="00B42534" w:rsidRPr="00417A02" w:rsidRDefault="0070739A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Żywotność podświetlenia matrycy: min. 50000 godzin.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64" w:type="dxa"/>
            <w:vAlign w:val="center"/>
          </w:tcPr>
          <w:p w:rsidR="00B42534" w:rsidRPr="00417A02" w:rsidRDefault="0070739A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Głośniki: min. 2 x 10W</w:t>
            </w:r>
          </w:p>
        </w:tc>
      </w:tr>
      <w:tr w:rsidR="00466278" w:rsidRPr="00417A02" w:rsidTr="00B42534">
        <w:tc>
          <w:tcPr>
            <w:tcW w:w="568" w:type="dxa"/>
            <w:vAlign w:val="center"/>
          </w:tcPr>
          <w:p w:rsidR="00466278" w:rsidRPr="00417A02" w:rsidRDefault="00466278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64" w:type="dxa"/>
            <w:vAlign w:val="center"/>
          </w:tcPr>
          <w:p w:rsidR="00466278" w:rsidRDefault="00466278" w:rsidP="004662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Wejścia: min. 2 x HDMI, min. 1 x VGA, min. 1 x audio, min. 2 x USB</w:t>
            </w:r>
          </w:p>
        </w:tc>
      </w:tr>
      <w:tr w:rsidR="00466278" w:rsidRPr="00417A02" w:rsidTr="00B42534">
        <w:tc>
          <w:tcPr>
            <w:tcW w:w="568" w:type="dxa"/>
            <w:vAlign w:val="center"/>
          </w:tcPr>
          <w:p w:rsidR="00466278" w:rsidRDefault="00466278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64" w:type="dxa"/>
            <w:vAlign w:val="center"/>
          </w:tcPr>
          <w:p w:rsidR="00466278" w:rsidRDefault="00466278" w:rsidP="004662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Wyjścia: min. 1 x VGA, min. 1 x wyjście słuchawkowe, min. 1 x SPDIF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466278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64" w:type="dxa"/>
            <w:vAlign w:val="center"/>
          </w:tcPr>
          <w:p w:rsidR="00B42534" w:rsidRPr="00417A02" w:rsidRDefault="0070739A" w:rsidP="002805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Wbudowany system operacyjny monitora</w:t>
            </w:r>
            <w:r w:rsidR="0028055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min. Android 5.0, min. 4-rdzeniowy procesor, min. 2 GB RAM, min. 4 GB wbudowanej pamięci</w:t>
            </w:r>
            <w:r w:rsidR="00280556">
              <w:rPr>
                <w:rFonts w:ascii="Times New Roman" w:hAnsi="Times New Roman" w:cs="Times New Roman"/>
                <w:sz w:val="20"/>
                <w:szCs w:val="20"/>
              </w:rPr>
              <w:t xml:space="preserve">, obsługa sieci bezprzewodowej </w:t>
            </w:r>
            <w:r w:rsidR="009C604E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r w:rsidR="00466278">
              <w:rPr>
                <w:rFonts w:ascii="Times New Roman" w:hAnsi="Times New Roman" w:cs="Times New Roman"/>
                <w:sz w:val="20"/>
                <w:szCs w:val="20"/>
              </w:rPr>
              <w:t xml:space="preserve"> (zewnętrzna antena)</w:t>
            </w:r>
            <w:r w:rsidR="00280556">
              <w:rPr>
                <w:rFonts w:ascii="Times New Roman" w:hAnsi="Times New Roman" w:cs="Times New Roman"/>
                <w:sz w:val="20"/>
                <w:szCs w:val="20"/>
              </w:rPr>
              <w:t>, dotykowy</w:t>
            </w:r>
            <w:r w:rsidR="003B1294">
              <w:rPr>
                <w:rFonts w:ascii="Times New Roman" w:hAnsi="Times New Roman" w:cs="Times New Roman"/>
                <w:sz w:val="20"/>
                <w:szCs w:val="20"/>
              </w:rPr>
              <w:t xml:space="preserve"> interfejs OSD w języku polskim, </w:t>
            </w:r>
            <w:r w:rsidR="003B1294" w:rsidRPr="003B1294">
              <w:rPr>
                <w:rFonts w:ascii="Times New Roman" w:hAnsi="Times New Roman" w:cs="Times New Roman"/>
                <w:sz w:val="20"/>
                <w:szCs w:val="20"/>
              </w:rPr>
              <w:t>funkcja notowania na ekranie na każdym obrazie (z każdego źródła) i zapisanie w celu późniejszego wyświetlenia</w:t>
            </w:r>
            <w:r w:rsidR="003B129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B1294" w:rsidRPr="003B1294">
              <w:rPr>
                <w:rFonts w:ascii="Times New Roman" w:hAnsi="Times New Roman" w:cs="Times New Roman"/>
                <w:sz w:val="20"/>
                <w:szCs w:val="20"/>
              </w:rPr>
              <w:t>możliwość korzystania z monitora jako białej tablicy bez potrzeby włączania komputera</w:t>
            </w:r>
            <w:r w:rsidR="00DE0ABB">
              <w:rPr>
                <w:rFonts w:ascii="Times New Roman" w:hAnsi="Times New Roman" w:cs="Times New Roman"/>
                <w:sz w:val="20"/>
                <w:szCs w:val="20"/>
              </w:rPr>
              <w:t xml:space="preserve"> OPS lub zewnętrznego.</w:t>
            </w:r>
          </w:p>
        </w:tc>
      </w:tr>
      <w:tr w:rsidR="00BF4E90" w:rsidRPr="00417A02" w:rsidTr="00B42534">
        <w:tc>
          <w:tcPr>
            <w:tcW w:w="568" w:type="dxa"/>
            <w:vAlign w:val="center"/>
          </w:tcPr>
          <w:p w:rsidR="00BF4E90" w:rsidRPr="00417A02" w:rsidRDefault="00BF4E90" w:rsidP="00BF4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64" w:type="dxa"/>
            <w:vAlign w:val="center"/>
          </w:tcPr>
          <w:p w:rsidR="00BF4E90" w:rsidRDefault="00BF4E90" w:rsidP="00BF4E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Slot na wewnętrzny komputer </w:t>
            </w:r>
            <w:r w:rsidRPr="00A74F64">
              <w:rPr>
                <w:rFonts w:ascii="Times New Roman" w:hAnsi="Times New Roman" w:cs="Times New Roman"/>
                <w:sz w:val="20"/>
                <w:szCs w:val="20"/>
              </w:rPr>
              <w:t>Open Pluggable Specification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(OPS).</w:t>
            </w:r>
          </w:p>
        </w:tc>
      </w:tr>
      <w:tr w:rsidR="00466278" w:rsidRPr="00417A02" w:rsidTr="00B42534">
        <w:tc>
          <w:tcPr>
            <w:tcW w:w="568" w:type="dxa"/>
            <w:vAlign w:val="center"/>
          </w:tcPr>
          <w:p w:rsidR="00466278" w:rsidRDefault="00466278" w:rsidP="00466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64" w:type="dxa"/>
            <w:vAlign w:val="center"/>
          </w:tcPr>
          <w:p w:rsidR="00466278" w:rsidRDefault="00466278" w:rsidP="004662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Monitor musi umożliwiać podłączenie zewnętrznego komputera </w:t>
            </w:r>
            <w:r w:rsidR="0015410F">
              <w:rPr>
                <w:rFonts w:ascii="Times New Roman" w:hAnsi="Times New Roman" w:cs="Times New Roman"/>
                <w:sz w:val="20"/>
                <w:szCs w:val="20"/>
              </w:rPr>
              <w:t xml:space="preserve">użytkownika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(niezależnego od OPS) wraz z pełną obsługą dotyku</w:t>
            </w:r>
            <w:r w:rsidR="0015410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5410F"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15410F">
              <w:rPr>
                <w:rFonts w:ascii="Times New Roman" w:hAnsi="Times New Roman" w:cs="Times New Roman"/>
                <w:sz w:val="20"/>
                <w:szCs w:val="20"/>
              </w:rPr>
              <w:t xml:space="preserve">dla systemów </w:t>
            </w:r>
            <w:r w:rsidR="0015410F" w:rsidRPr="00417A02">
              <w:rPr>
                <w:rFonts w:ascii="Times New Roman" w:hAnsi="Times New Roman" w:cs="Times New Roman"/>
                <w:sz w:val="20"/>
                <w:szCs w:val="20"/>
              </w:rPr>
              <w:t>MS Windows 7/8/10</w:t>
            </w:r>
            <w:r w:rsidR="001541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466278" w:rsidP="00466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4" w:type="dxa"/>
            <w:vAlign w:val="center"/>
          </w:tcPr>
          <w:p w:rsidR="00B42534" w:rsidRPr="00417A02" w:rsidRDefault="004E1B0E" w:rsidP="004E1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Gwarancja na monitor</w:t>
            </w:r>
            <w:r w:rsidR="00B42534" w:rsidRPr="00820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min. </w:t>
            </w:r>
            <w:r w:rsidR="002805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42534" w:rsidRPr="00820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lat</w:t>
            </w:r>
            <w:r w:rsidR="00B425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466278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805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Obsługa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min. dziesięciu jednocze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snych dotknięć umożliwia pracę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kilku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użytkowników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raz 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z materiałem interaktywnym na </w:t>
            </w:r>
            <w:r w:rsidR="00280556">
              <w:rPr>
                <w:rFonts w:ascii="Times New Roman" w:hAnsi="Times New Roman" w:cs="Times New Roman"/>
                <w:sz w:val="20"/>
                <w:szCs w:val="20"/>
              </w:rPr>
              <w:t>monitorze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wykorzystując dołączone pisaki, inne przedmioty lub swoje palce do pisania i do wykonywania gestów.</w:t>
            </w:r>
            <w:r w:rsidR="003B1294">
              <w:rPr>
                <w:rFonts w:ascii="Times New Roman" w:hAnsi="Times New Roman" w:cs="Times New Roman"/>
                <w:sz w:val="20"/>
                <w:szCs w:val="20"/>
              </w:rPr>
              <w:t xml:space="preserve"> Dokładność dotyku min. 1 mm.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466278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Rozpoznawanie gestów wielodotyku: dotknięcie obiektu w dwóch punktach i obracanie punktów dotyku wokół środka – obracanie obiektu, dotknięcie obiektu w dwóch punktach i oddalanie lub przybliżanie punktów dotyku – zwiększanie i zmniejszanie obiektu.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1E5A76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Autoryzowany przez Producenta serwis na ternie Polski.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1E5A76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4" w:type="dxa"/>
            <w:vAlign w:val="center"/>
          </w:tcPr>
          <w:p w:rsidR="00B42534" w:rsidRPr="00417A02" w:rsidRDefault="001E5A76" w:rsidP="0022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Wymagane dostarczenie o</w:t>
            </w:r>
            <w:r w:rsidR="00466278">
              <w:rPr>
                <w:rFonts w:ascii="Times New Roman" w:hAnsi="Times New Roman" w:cs="Times New Roman"/>
                <w:sz w:val="20"/>
                <w:szCs w:val="20"/>
              </w:rPr>
              <w:t>programowani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466278">
              <w:rPr>
                <w:rFonts w:ascii="Times New Roman" w:hAnsi="Times New Roman" w:cs="Times New Roman"/>
                <w:sz w:val="20"/>
                <w:szCs w:val="20"/>
              </w:rPr>
              <w:t xml:space="preserve"> producenta monitora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p</w:t>
            </w:r>
            <w:r w:rsidR="00B42534" w:rsidRPr="00417A02">
              <w:rPr>
                <w:rFonts w:ascii="Times New Roman" w:hAnsi="Times New Roman" w:cs="Times New Roman"/>
                <w:sz w:val="20"/>
                <w:szCs w:val="20"/>
              </w:rPr>
              <w:t>olsk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iej </w:t>
            </w:r>
            <w:r w:rsidR="00B42534" w:rsidRPr="00417A02">
              <w:rPr>
                <w:rFonts w:ascii="Times New Roman" w:hAnsi="Times New Roman" w:cs="Times New Roman"/>
                <w:sz w:val="20"/>
                <w:szCs w:val="20"/>
              </w:rPr>
              <w:t>wersj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42534"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językow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ej.</w:t>
            </w:r>
          </w:p>
          <w:p w:rsidR="00B42534" w:rsidRPr="00417A02" w:rsidRDefault="00B42534" w:rsidP="0022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Współpraca z systemami operacyjnymi: min. MS Windows 7/8/10.</w:t>
            </w:r>
          </w:p>
          <w:p w:rsidR="00B42534" w:rsidRPr="00417A02" w:rsidRDefault="00B42534" w:rsidP="00417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Bezpłatna  aktualizacja oprogramowania przez okres min. 3 lat.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Organizacja okna programu na wzór popularnych programów do edycji tekstu, arkuszy kalkulacyjnych </w:t>
            </w:r>
            <w:r w:rsidR="00DE0ABB">
              <w:rPr>
                <w:rFonts w:ascii="Times New Roman" w:hAnsi="Times New Roman" w:cs="Times New Roman"/>
                <w:sz w:val="20"/>
                <w:szCs w:val="20"/>
              </w:rPr>
              <w:t>itp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E0ABB" w:rsidRPr="00417A0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asek menu tekstowego, pasek narzędzi w postaci ikon, pasek tytułu okna, ikony minimalizuj, maksymalizuj i zamknij okno, paski przewijania poziomego i pionowego dla menu narzędziowych oraz obszar roboczy okna.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Formatowanie wpisanego lub wklejonego tekstu.</w:t>
            </w:r>
          </w:p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Możliwość wstawiania pól tekstowych oraz rozpoznawanie pisma odręcznego w języku polskim.</w:t>
            </w:r>
          </w:p>
          <w:p w:rsidR="00B42534" w:rsidRPr="00417A02" w:rsidRDefault="00B42534" w:rsidP="00D11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Wstawianie tabel i ich formatowanie (zmiana wielkości komórek, tła komórek, zmiana linii tabeli </w:t>
            </w:r>
            <w:r w:rsidR="00DE0ABB">
              <w:rPr>
                <w:rFonts w:ascii="Times New Roman" w:hAnsi="Times New Roman" w:cs="Times New Roman"/>
                <w:sz w:val="20"/>
                <w:szCs w:val="20"/>
              </w:rPr>
              <w:t>itp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.). Narzędzie rysowania linii i gotowych tabeli.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Wstawianie obiektów z wewnętrznej bazy programu obsługującego </w:t>
            </w:r>
            <w:r w:rsidR="004E1B0E">
              <w:rPr>
                <w:rFonts w:ascii="Times New Roman" w:hAnsi="Times New Roman" w:cs="Times New Roman"/>
                <w:sz w:val="20"/>
                <w:szCs w:val="20"/>
              </w:rPr>
              <w:t>monitor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E1B0E">
              <w:rPr>
                <w:rFonts w:ascii="Times New Roman" w:hAnsi="Times New Roman" w:cs="Times New Roman"/>
                <w:sz w:val="20"/>
                <w:szCs w:val="20"/>
              </w:rPr>
              <w:t>np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E0ABB" w:rsidRPr="00417A0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brazów, animacji, gotowych szablonów, obiektów flash).</w:t>
            </w:r>
          </w:p>
          <w:p w:rsidR="00B42534" w:rsidRPr="00417A02" w:rsidRDefault="00B42534" w:rsidP="00F8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Wbudowana w oprogramowanie baza obiektów, przynajmniej 1000 obiektów edukacyjnych z zakresu różnych przedmiotów szkolnych.</w:t>
            </w:r>
          </w:p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Regulacja stopnia przeźroczystości obiektów.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Wypełnianie zamkniętych kształtów kolorem, gradientem, wzorem i wybranym plikiem graficznym. Grupowanie i rozgrupowywanie obiektów graficznych. Obracanie, przesuwanie i zmiana rozmiaru obiektów, notatek.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10064" w:type="dxa"/>
          </w:tcPr>
          <w:p w:rsidR="00B42534" w:rsidRPr="00417A02" w:rsidRDefault="00B42534" w:rsidP="00D11542">
            <w:pPr>
              <w:tabs>
                <w:tab w:val="right" w:pos="853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Możliwość dodawania nowych slajdów, usuwania i edycji kolejności slajdów.</w:t>
            </w:r>
          </w:p>
          <w:p w:rsidR="00B42534" w:rsidRPr="00417A02" w:rsidRDefault="00B42534" w:rsidP="00D54FB1">
            <w:pPr>
              <w:tabs>
                <w:tab w:val="right" w:pos="853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Porządkowanie kolejności stron poprzez mechanizm przeciągnij i upuść. </w:t>
            </w:r>
          </w:p>
          <w:p w:rsidR="00B42534" w:rsidRPr="00417A02" w:rsidRDefault="00B42534" w:rsidP="00DE0ABB">
            <w:pPr>
              <w:tabs>
                <w:tab w:val="right" w:pos="8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Przenoszenie poprzez mechanizm przeciągnij i upuść obiektów miedzy stronami w oprogramowaniu </w:t>
            </w:r>
            <w:r w:rsidR="00DE0A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monitora</w:t>
            </w:r>
            <w:r w:rsidRPr="00417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417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ab/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f)</w:t>
            </w:r>
          </w:p>
        </w:tc>
        <w:tc>
          <w:tcPr>
            <w:tcW w:w="10064" w:type="dxa"/>
          </w:tcPr>
          <w:p w:rsidR="00B42534" w:rsidRPr="00417A02" w:rsidRDefault="00B42534" w:rsidP="009B0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Modyfikowanie zawartej w oprogramowaniu </w:t>
            </w:r>
            <w:r w:rsidR="00DE0ABB">
              <w:rPr>
                <w:rFonts w:ascii="Times New Roman" w:hAnsi="Times New Roman" w:cs="Times New Roman"/>
                <w:sz w:val="20"/>
                <w:szCs w:val="20"/>
              </w:rPr>
              <w:t>monitora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bazy obiektów poprzez dodawanie własnych obiektów oraz porządkowanie ich w drzewiastej strukturze katalogów i podkatalogów.</w:t>
            </w:r>
          </w:p>
          <w:p w:rsidR="00B42534" w:rsidRPr="00417A02" w:rsidRDefault="00B42534" w:rsidP="00DE0A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Proste wstawianie zewnętrznych plików graficznych zapisanych w innych aplikacjach poprzez mechanizm przeciągnij i upuść pomiędzy oknem z zawartością katalogu eksploratora Windows i oknem</w:t>
            </w:r>
            <w:r w:rsidR="00DE0ABB">
              <w:rPr>
                <w:rFonts w:ascii="Times New Roman" w:hAnsi="Times New Roman" w:cs="Times New Roman"/>
                <w:sz w:val="20"/>
                <w:szCs w:val="20"/>
              </w:rPr>
              <w:t xml:space="preserve"> programu dostarczanego wraz z monitorem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g)</w:t>
            </w:r>
          </w:p>
        </w:tc>
        <w:tc>
          <w:tcPr>
            <w:tcW w:w="10064" w:type="dxa"/>
          </w:tcPr>
          <w:p w:rsidR="00B42534" w:rsidRPr="00417A02" w:rsidRDefault="00B42534" w:rsidP="009B0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Generator ćwiczeń wykorzystujący obiekty umieszczone na slajdzie, które po umieszczeniu jednego na drugim mogą zachowywać się z zaprogramowany, różny sposób, co pozwala na tworzenie gier lub ćwiczeń interaktywnych.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Importowanie i eksportowanie materiałów powstałych na </w:t>
            </w:r>
            <w:r w:rsidR="00DE0ABB">
              <w:rPr>
                <w:rFonts w:ascii="Times New Roman" w:hAnsi="Times New Roman" w:cs="Times New Roman"/>
                <w:sz w:val="20"/>
                <w:szCs w:val="20"/>
              </w:rPr>
              <w:t>monitorze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w czasie zajęć (notatek, obiektów) w formacie pliku IWB.</w:t>
            </w:r>
          </w:p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Możliwość eksportu prezentacji/lekcji do pliku pdf.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64" w:type="dxa"/>
          </w:tcPr>
          <w:p w:rsidR="00B42534" w:rsidRPr="00417A02" w:rsidRDefault="00B42534" w:rsidP="004E1B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Wykonywanie notatek przy pomocy </w:t>
            </w:r>
            <w:r w:rsidR="004E1B0E">
              <w:rPr>
                <w:rFonts w:ascii="Times New Roman" w:hAnsi="Times New Roman" w:cs="Times New Roman"/>
                <w:sz w:val="20"/>
                <w:szCs w:val="20"/>
              </w:rPr>
              <w:t>monitora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w plikach popularnych aplikacji (przynamniej: MS Word, MS Excel, MS PowerPoint). Możliwość przekształcenia notatek odręcznych na tekst maszynowy i wstawienia ich do ww. programów.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Pomiarowe narzędzia matematyczne: linijka, kątomierz, ekierka, cyrkiel. Możliwość powiększania długości linijki bez zmiany skali. Rysowanie linii przy narzędziach linijka, ekierka i kątomierz. Narzędzie do rysowania wielokątów od trójkąta do pięciokąta.</w:t>
            </w:r>
          </w:p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Funkcja wymiarowania boków oraz kątów figur płaskich dostępna za pomocą jednego przycisku lub kilku kliknięć.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Automatyczna optymalizacja wielkości wstawianych plików graficznych, co umożliwia szybsze i łatwiejsze przekazywanie materiałów edukacyjnych przez sieć </w:t>
            </w:r>
            <w:r w:rsidR="00DE0ABB">
              <w:rPr>
                <w:rFonts w:ascii="Times New Roman" w:hAnsi="Times New Roman" w:cs="Times New Roman"/>
                <w:sz w:val="20"/>
                <w:szCs w:val="20"/>
              </w:rPr>
              <w:t>itp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E0ABB" w:rsidRPr="00417A0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ocztą elektroniczną, na stronach WWW </w:t>
            </w:r>
            <w:r w:rsidR="00DE0ABB">
              <w:rPr>
                <w:rFonts w:ascii="Times New Roman" w:hAnsi="Times New Roman" w:cs="Times New Roman"/>
                <w:sz w:val="20"/>
                <w:szCs w:val="20"/>
              </w:rPr>
              <w:t>itp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Pióro kreatywne – narzędzie umożliwiające pisanie i rysowane dowolnymi kształtami (</w:t>
            </w:r>
            <w:r w:rsidR="00DE0ABB">
              <w:rPr>
                <w:rFonts w:ascii="Times New Roman" w:hAnsi="Times New Roman" w:cs="Times New Roman"/>
                <w:sz w:val="20"/>
                <w:szCs w:val="20"/>
              </w:rPr>
              <w:t>itp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E0ABB" w:rsidRPr="00417A02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wiazdki, kwiatki </w:t>
            </w:r>
            <w:r w:rsidR="00DE0ABB">
              <w:rPr>
                <w:rFonts w:ascii="Times New Roman" w:hAnsi="Times New Roman" w:cs="Times New Roman"/>
                <w:sz w:val="20"/>
                <w:szCs w:val="20"/>
              </w:rPr>
              <w:t>itp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.). Użytkownik może dostosować pióro kreatywne do swoich potrzeb poprzez wybranie dowolnego kształtu, który jest obiektem znajdującym się na slajdzie lub plikiem graficznym.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m)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Rozpoznawanie pisma odręcznego z przetwarzaniem na tekst maszynowy.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n)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Użytkownik ma możliwość ustawienia, aby ślad atramentu piór stopniowo bladł, aż do całkowitego zniknięcia. Można regulować czas po jakim ślad atramentu zaczyna znikać.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o)</w:t>
            </w:r>
          </w:p>
        </w:tc>
        <w:tc>
          <w:tcPr>
            <w:tcW w:w="10064" w:type="dxa"/>
          </w:tcPr>
          <w:p w:rsidR="00B42534" w:rsidRPr="00417A02" w:rsidRDefault="00B42534" w:rsidP="00D11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Możliwość przyporządkowania skrótów internetowych do obiektów, aby odnosiły do stron internetowych i automatycznie otwieranie ich w domyślnej dla systemu operacyjnego przeglądarce.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D54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Tryb przeźroczystości umożliwiający nanoszenie notatek na dowolnej aplikacji, pulpicie.</w:t>
            </w:r>
          </w:p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 przypadku programów do odtwarzania filmów użytkownik może rysować i pisać po filmie bez jego zatrzymywania i bez ingerowania w możliwość sterowania jego odtwarzaniem (</w:t>
            </w:r>
            <w:r w:rsidR="00DE0ABB">
              <w:rPr>
                <w:rFonts w:ascii="Times New Roman" w:hAnsi="Times New Roman" w:cs="Times New Roman"/>
                <w:sz w:val="20"/>
                <w:szCs w:val="20"/>
              </w:rPr>
              <w:t>itp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.: pauza, przewijanie, ponowne odtwarzanie).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10064" w:type="dxa"/>
          </w:tcPr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Zabezpieczenie tworzonego dokumentu przed jego utratą poprzez automatyczne zapisywanie go o wybrany interwał czasu.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s)</w:t>
            </w:r>
          </w:p>
        </w:tc>
        <w:tc>
          <w:tcPr>
            <w:tcW w:w="10064" w:type="dxa"/>
          </w:tcPr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Zapisywanie wszystkich czynności ekranowych w postaci sygnału wideo plus dźwięk z mikrofonu.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t)</w:t>
            </w:r>
          </w:p>
        </w:tc>
        <w:tc>
          <w:tcPr>
            <w:tcW w:w="10064" w:type="dxa"/>
          </w:tcPr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Możliwość umieszczenia na pasku narzędziowym skrótów do innych programów, folderów, stron www </w:t>
            </w:r>
            <w:r w:rsidR="00DE0ABB">
              <w:rPr>
                <w:rFonts w:ascii="Times New Roman" w:hAnsi="Times New Roman" w:cs="Times New Roman"/>
                <w:sz w:val="20"/>
                <w:szCs w:val="20"/>
              </w:rPr>
              <w:t>itp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946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6F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3B12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Powierzchnia </w:t>
            </w:r>
            <w:r w:rsidR="003B1294">
              <w:rPr>
                <w:rFonts w:ascii="Times New Roman" w:hAnsi="Times New Roman" w:cs="Times New Roman"/>
                <w:sz w:val="20"/>
                <w:szCs w:val="20"/>
              </w:rPr>
              <w:t>ekranu zabezpieczona szkłem hartowanym, matryca matowa lub z powłoką antyrefleksyjną.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A96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6F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4448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Personalizacja paska narzędzi indywidualnie dla każdego nauczyciela poprzez zapisanie spersonalizowanych ustawień pod profilami nauczycieli.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A96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6F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5D0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Praca w trybie konferencji (przesyłanie obrazu i dźwięku) z innymi </w:t>
            </w:r>
            <w:r w:rsidR="005D073F">
              <w:rPr>
                <w:rFonts w:ascii="Times New Roman" w:hAnsi="Times New Roman" w:cs="Times New Roman"/>
                <w:sz w:val="20"/>
                <w:szCs w:val="20"/>
              </w:rPr>
              <w:t xml:space="preserve">monitorami lub 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tablicami interaktywnymi w sieci lokalnej.</w:t>
            </w:r>
          </w:p>
        </w:tc>
      </w:tr>
      <w:tr w:rsidR="00DE0ABB" w:rsidRPr="00417A02" w:rsidTr="00B42534">
        <w:tc>
          <w:tcPr>
            <w:tcW w:w="568" w:type="dxa"/>
            <w:vAlign w:val="center"/>
          </w:tcPr>
          <w:p w:rsidR="00DE0ABB" w:rsidRDefault="00DE0ABB" w:rsidP="00A96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6F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64" w:type="dxa"/>
            <w:vAlign w:val="center"/>
          </w:tcPr>
          <w:p w:rsidR="00DE0ABB" w:rsidRPr="00417A02" w:rsidRDefault="00DE0ABB" w:rsidP="005D0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Możliwość obsługi monitora pilotem oraz z panelu przycisków (możliwość zablokowania działania przycisków).</w:t>
            </w:r>
          </w:p>
        </w:tc>
      </w:tr>
      <w:tr w:rsidR="004E1B0E" w:rsidRPr="00417A02" w:rsidTr="00B42534">
        <w:tc>
          <w:tcPr>
            <w:tcW w:w="568" w:type="dxa"/>
            <w:vAlign w:val="center"/>
          </w:tcPr>
          <w:p w:rsidR="004E1B0E" w:rsidRDefault="00A96FB1" w:rsidP="00A96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64" w:type="dxa"/>
            <w:vAlign w:val="center"/>
          </w:tcPr>
          <w:p w:rsidR="004E1B0E" w:rsidRDefault="004E1B0E" w:rsidP="005D0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komplecie zestaw montażowy na ścianę w standardzie VESA.</w:t>
            </w:r>
          </w:p>
        </w:tc>
      </w:tr>
      <w:tr w:rsidR="00C44A05" w:rsidRPr="00417A02" w:rsidTr="00B42534">
        <w:tc>
          <w:tcPr>
            <w:tcW w:w="568" w:type="dxa"/>
            <w:vAlign w:val="center"/>
          </w:tcPr>
          <w:p w:rsidR="00C44A05" w:rsidRDefault="00A96FB1" w:rsidP="00946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064" w:type="dxa"/>
            <w:vAlign w:val="center"/>
          </w:tcPr>
          <w:p w:rsidR="006E2E92" w:rsidRPr="006E2E92" w:rsidRDefault="006E2E92" w:rsidP="006E2E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E92">
              <w:rPr>
                <w:rFonts w:ascii="Times New Roman" w:hAnsi="Times New Roman" w:cs="Times New Roman"/>
                <w:sz w:val="20"/>
                <w:szCs w:val="20"/>
              </w:rPr>
              <w:t>W komplecie z oprogramowaniem musi być zapewniony dostęp do instrukcji obsługi tablicy/monitora i jej/jego oprogramowania w postaci platformy e-learningowej on-line – należy wskazać adres WWW do instrukcji w ofercie.</w:t>
            </w:r>
          </w:p>
          <w:p w:rsidR="006E2E92" w:rsidRPr="006E2E92" w:rsidRDefault="006E2E92" w:rsidP="006E2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E92">
              <w:rPr>
                <w:rFonts w:ascii="Times New Roman" w:hAnsi="Times New Roman" w:cs="Times New Roman"/>
                <w:sz w:val="20"/>
                <w:szCs w:val="20"/>
              </w:rPr>
              <w:t>Wymagania jakie musi spełniać instrukcja on-line:</w:t>
            </w:r>
          </w:p>
          <w:p w:rsidR="006E2E92" w:rsidRPr="006E2E92" w:rsidRDefault="006E2E92" w:rsidP="006E2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E92">
              <w:rPr>
                <w:rFonts w:ascii="Times New Roman" w:hAnsi="Times New Roman" w:cs="Times New Roman"/>
                <w:sz w:val="20"/>
                <w:szCs w:val="20"/>
              </w:rPr>
              <w:t>- logowanie do Platformy e-learning poprzedzone jest procesem rejestracji użytkownika oraz akceptacji przez niego warunków licencji określającej warunki korzystania z materiałów zamieszczonych na Platformie;</w:t>
            </w:r>
          </w:p>
          <w:p w:rsidR="006E2E92" w:rsidRPr="006E2E92" w:rsidRDefault="006E2E92" w:rsidP="006E2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E92">
              <w:rPr>
                <w:rFonts w:ascii="Times New Roman" w:hAnsi="Times New Roman" w:cs="Times New Roman"/>
                <w:sz w:val="20"/>
                <w:szCs w:val="20"/>
              </w:rPr>
              <w:t>- dostęp do interfejsu WWW powinien być możliwy jedynie dla uwierzytelnionych poprawnie użytkowników;</w:t>
            </w:r>
          </w:p>
          <w:p w:rsidR="006E2E92" w:rsidRPr="006E2E92" w:rsidRDefault="006E2E92" w:rsidP="006E2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E92">
              <w:rPr>
                <w:rFonts w:ascii="Times New Roman" w:hAnsi="Times New Roman" w:cs="Times New Roman"/>
                <w:sz w:val="20"/>
                <w:szCs w:val="20"/>
              </w:rPr>
              <w:t>- platforma wdrożeń e-learning daje możliwość przerwania i zapisania rezultatów nauki w dowolnym momencie użytkowania;</w:t>
            </w:r>
          </w:p>
          <w:p w:rsidR="006E2E92" w:rsidRPr="006E2E92" w:rsidRDefault="006E2E92" w:rsidP="006E2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E92">
              <w:rPr>
                <w:rFonts w:ascii="Times New Roman" w:hAnsi="Times New Roman" w:cs="Times New Roman"/>
                <w:sz w:val="20"/>
                <w:szCs w:val="20"/>
              </w:rPr>
              <w:t>- wszystkie materiały zawarte na platformie wdrożeniowej będzie można eksportować zgodnie z standardem SCORM w minimalnej wersji 1.2</w:t>
            </w:r>
          </w:p>
          <w:p w:rsidR="006E2E92" w:rsidRPr="006E2E92" w:rsidRDefault="006E2E92" w:rsidP="006E2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E92">
              <w:rPr>
                <w:rFonts w:ascii="Times New Roman" w:hAnsi="Times New Roman" w:cs="Times New Roman"/>
                <w:sz w:val="20"/>
                <w:szCs w:val="20"/>
              </w:rPr>
              <w:t>- platforma wdrożeń e-learning umożliwi przeprowadzenie egzaminu teoretycznego  dotyczącego przedstawionego zakresu materiału;</w:t>
            </w:r>
          </w:p>
          <w:p w:rsidR="006E2E92" w:rsidRPr="006E2E92" w:rsidRDefault="006E2E92" w:rsidP="006E2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E92">
              <w:rPr>
                <w:rFonts w:ascii="Times New Roman" w:hAnsi="Times New Roman" w:cs="Times New Roman"/>
                <w:sz w:val="20"/>
                <w:szCs w:val="20"/>
              </w:rPr>
              <w:t>- instrukcja wykorzystania tablic/monitorów interaktywnych i ich oprogramowania w procesie dydaktycznym w wersji online  powinna obejmować minimum 10 godzin dydaktycznych (jedna godzina dydaktyczna 45 minut);</w:t>
            </w:r>
          </w:p>
          <w:p w:rsidR="006E2E92" w:rsidRPr="006E2E92" w:rsidRDefault="006E2E92" w:rsidP="006E2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E92">
              <w:rPr>
                <w:rFonts w:ascii="Times New Roman" w:hAnsi="Times New Roman" w:cs="Times New Roman"/>
                <w:sz w:val="20"/>
                <w:szCs w:val="20"/>
              </w:rPr>
              <w:t>- każdy temat/godzina dydaktyczna musi zawierać przynajmniej jeden film instruktażowy;</w:t>
            </w:r>
          </w:p>
          <w:p w:rsidR="006E2E92" w:rsidRPr="006E2E92" w:rsidRDefault="006E2E92" w:rsidP="006E2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E92">
              <w:rPr>
                <w:rFonts w:ascii="Times New Roman" w:hAnsi="Times New Roman" w:cs="Times New Roman"/>
                <w:sz w:val="20"/>
                <w:szCs w:val="20"/>
              </w:rPr>
              <w:t>- instrukcja powinna składać się z części teoretycznej i części pozwalającej zweryfikować użytkownikowi systemu poziom opanowania wiedzy dotyczącej wykorzystania tablic i monitorów interaktywnych oraz ich oprogramowania;</w:t>
            </w:r>
          </w:p>
          <w:p w:rsidR="006E2E92" w:rsidRPr="006E2E92" w:rsidRDefault="006E2E92" w:rsidP="006E2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E92">
              <w:rPr>
                <w:rFonts w:ascii="Times New Roman" w:hAnsi="Times New Roman" w:cs="Times New Roman"/>
                <w:sz w:val="20"/>
                <w:szCs w:val="20"/>
              </w:rPr>
              <w:t>- instrukcja w wersji online powinna zawierać filmy instruktażowe w języku polskim (odpowiednio do tematyki), minimalna rozdzielczość filmu instruktażowego Full HD tj. format 1920x1080 pikseli, filmy instruktażowe powinny stanowić część instrukcji wykorzystania oprogramowania (łącznie dla wszystkich tematów minimum 3 godziny zegarowe materiału filmowego).</w:t>
            </w:r>
          </w:p>
          <w:p w:rsidR="00C44A05" w:rsidRPr="006E2E92" w:rsidRDefault="006E2E92" w:rsidP="006E2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E92">
              <w:rPr>
                <w:rFonts w:ascii="Times New Roman" w:hAnsi="Times New Roman" w:cs="Times New Roman"/>
                <w:sz w:val="20"/>
                <w:szCs w:val="20"/>
              </w:rPr>
              <w:t>- treści, które powinny być uwzględnione w materiałach instrukcji: podstawowe informacje (instalacja i uruchomienie programu, wygląd interfejsu, podstawowe elementy sterujące programem, sporządzanie notatek, rysunków, przekształcanie notatek z pisma odręcznego do pisma maszynowego, otwierani i zapisywanie treści, wyświetlanie notatek, różne sposoby prezentacji treści, zapisywanie i nadpisywanie plików, pobieranie zasobów na dysk twardy komputera, modyfikacja ćwiczeń i treści w pobranych plikach, wyświetlanie filmów, prezentowanie treści dydaktycznych z sieci Internet, jak wyszukiwać treści dydaktyczne na tablicę interaktywną w Internecie), praca na obiektach (obiekty na stronie programu, dodawanie obiektów na stronę, sposoby modyfikacji właściwości obiektów, animowanie obiektów, łączenie obiektów w grupy, blokowanie obiektów na slajdzie), tworzenie ćwiczeń (przykłady i rodzaje ćwiczeń, modyfikacja gotowych ćwiczeń, tworzenie etykiet do ćwiczeń, tworzenie odnośników w ćwiczeniach, blokowanie obiektów w ćwiczeniu), praca z galerią (galeria i jej funkcje oraz możliwości, wyszukiwanie obiektów w galerii, umieszczanie własnych obiektów w galerii, przykłady narzędzi usprawniających przeprowadzenie lekcji dostępnych w galerii), przekazywanie materiałów z lekcji uczniom (eksportowanie plików do innych formatów, wysyłanie plików na adresy uczniów bezpośrednio z programu, eksport do plików PDF).</w:t>
            </w:r>
          </w:p>
        </w:tc>
      </w:tr>
    </w:tbl>
    <w:p w:rsidR="0022737F" w:rsidRPr="002376A2" w:rsidRDefault="0022737F" w:rsidP="002273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598B" w:rsidRDefault="00E2598B" w:rsidP="006147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sectPr w:rsidR="00E2598B" w:rsidSect="002273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5CBB"/>
    <w:multiLevelType w:val="hybridMultilevel"/>
    <w:tmpl w:val="678CF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E1FA3"/>
    <w:multiLevelType w:val="hybridMultilevel"/>
    <w:tmpl w:val="334EA158"/>
    <w:lvl w:ilvl="0" w:tplc="0C36F0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7F"/>
    <w:rsid w:val="001055DA"/>
    <w:rsid w:val="00135910"/>
    <w:rsid w:val="0015410F"/>
    <w:rsid w:val="0017062F"/>
    <w:rsid w:val="001E5A76"/>
    <w:rsid w:val="0022737F"/>
    <w:rsid w:val="002376A2"/>
    <w:rsid w:val="00280556"/>
    <w:rsid w:val="003B1294"/>
    <w:rsid w:val="003F07CF"/>
    <w:rsid w:val="00417A02"/>
    <w:rsid w:val="0044487E"/>
    <w:rsid w:val="00466278"/>
    <w:rsid w:val="004E1B0E"/>
    <w:rsid w:val="004E51B4"/>
    <w:rsid w:val="005527D5"/>
    <w:rsid w:val="005D073F"/>
    <w:rsid w:val="005F60B0"/>
    <w:rsid w:val="0061474A"/>
    <w:rsid w:val="00664FA7"/>
    <w:rsid w:val="00675FA7"/>
    <w:rsid w:val="006E2E92"/>
    <w:rsid w:val="0070739A"/>
    <w:rsid w:val="007435FC"/>
    <w:rsid w:val="00757C1E"/>
    <w:rsid w:val="00766844"/>
    <w:rsid w:val="007E6950"/>
    <w:rsid w:val="00815C88"/>
    <w:rsid w:val="008209E8"/>
    <w:rsid w:val="008819B0"/>
    <w:rsid w:val="008B4A6E"/>
    <w:rsid w:val="00946137"/>
    <w:rsid w:val="00952411"/>
    <w:rsid w:val="00983229"/>
    <w:rsid w:val="009C604E"/>
    <w:rsid w:val="00A96FB1"/>
    <w:rsid w:val="00B0182F"/>
    <w:rsid w:val="00B27C8E"/>
    <w:rsid w:val="00B34B0B"/>
    <w:rsid w:val="00B42534"/>
    <w:rsid w:val="00BD525B"/>
    <w:rsid w:val="00BD547E"/>
    <w:rsid w:val="00BF4E90"/>
    <w:rsid w:val="00C3104B"/>
    <w:rsid w:val="00C44A05"/>
    <w:rsid w:val="00D11542"/>
    <w:rsid w:val="00D54FB1"/>
    <w:rsid w:val="00DE0ABB"/>
    <w:rsid w:val="00E2598B"/>
    <w:rsid w:val="00E74809"/>
    <w:rsid w:val="00F25005"/>
    <w:rsid w:val="00F73D57"/>
    <w:rsid w:val="00F8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C70E"/>
  <w15:docId w15:val="{0D33F3A9-F281-46C3-BFC1-FFF0300D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37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737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22737F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22737F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1446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Kowalski</dc:creator>
  <cp:lastModifiedBy>Konrad Bąk</cp:lastModifiedBy>
  <cp:revision>36</cp:revision>
  <dcterms:created xsi:type="dcterms:W3CDTF">2015-07-01T10:21:00Z</dcterms:created>
  <dcterms:modified xsi:type="dcterms:W3CDTF">2017-08-11T16:44:00Z</dcterms:modified>
</cp:coreProperties>
</file>