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26" w:rsidRPr="004C5006" w:rsidRDefault="00000F26" w:rsidP="00000F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r w:rsidRPr="004C5006">
        <w:rPr>
          <w:rFonts w:ascii="Times New Roman" w:hAnsi="Times New Roman" w:cs="Times New Roman"/>
          <w:b/>
          <w:sz w:val="20"/>
          <w:szCs w:val="20"/>
          <w:lang w:val="en-GB"/>
        </w:rPr>
        <w:t>Optoma</w:t>
      </w:r>
      <w:proofErr w:type="spellEnd"/>
      <w:r w:rsidRPr="004C500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X</w:t>
      </w:r>
      <w:r w:rsidR="00987874">
        <w:rPr>
          <w:rFonts w:ascii="Times New Roman" w:hAnsi="Times New Roman" w:cs="Times New Roman"/>
          <w:b/>
          <w:sz w:val="20"/>
          <w:szCs w:val="20"/>
          <w:lang w:val="en-GB"/>
        </w:rPr>
        <w:t>305</w:t>
      </w:r>
      <w:r w:rsidRPr="004C5006">
        <w:rPr>
          <w:rFonts w:ascii="Times New Roman" w:hAnsi="Times New Roman" w:cs="Times New Roman"/>
          <w:b/>
          <w:sz w:val="20"/>
          <w:szCs w:val="20"/>
          <w:lang w:val="en-GB"/>
        </w:rPr>
        <w:t>ST</w:t>
      </w:r>
    </w:p>
    <w:p w:rsidR="00B42534" w:rsidRPr="004C5006" w:rsidRDefault="00B42534" w:rsidP="00DD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000F26" w:rsidRPr="00895E37" w:rsidRDefault="00000F26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00F26" w:rsidRPr="00895E37" w:rsidRDefault="00000F26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95E37">
        <w:rPr>
          <w:rFonts w:ascii="Times New Roman" w:hAnsi="Times New Roman" w:cs="Times New Roman"/>
          <w:sz w:val="20"/>
          <w:szCs w:val="20"/>
          <w:u w:val="single"/>
        </w:rPr>
        <w:t>Parametry techniczne projektora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4"/>
        <w:gridCol w:w="9978"/>
      </w:tblGrid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Technologia DLP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Jasność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min. 3000 ANSI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Kontrast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min. 18000:1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Rozdzielczość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natywna min. XGA 1024 x 768 (wymagany format 4:3)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>Projektor musi umożliwić wyświetlenie obrazu wykorzystującego całą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>powierzchnię zaproponowanej tablicy interaktywnej z odległości 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 xml:space="preserve">większej niż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Kompatybilne rozdzielczości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UXGA, SXGA, WXGA, HD, XGA, SVGA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Waga urządzenia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max 2,6 kg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Poziomu szumu 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max 29 </w:t>
            </w:r>
            <w:proofErr w:type="spellStart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 trybie ekologicznym)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Żywotność lampy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min. 4500 godzin (w trybie maksymalnej jasności)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min. 6000 godzin (w trybie oszczędnym)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Wejścia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1 x HDMI (HDCP) z obsługą audio, 2 x 15 Pin D-</w:t>
            </w:r>
            <w:proofErr w:type="spellStart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proofErr w:type="spellEnd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VGA, S-Video, </w:t>
            </w:r>
            <w:proofErr w:type="spellStart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Composite</w:t>
            </w:r>
            <w:proofErr w:type="spellEnd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CA, 3.5mm Audio Mini Jack, USB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Zarządzanie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RS232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– zdalne zarządzanie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Wyjścia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3.5mm Audio Mini Jack,  15 Pin D-</w:t>
            </w:r>
            <w:proofErr w:type="spellStart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proofErr w:type="spellEnd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VGA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Głośnik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min. 2W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Moc lampy max 200W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Korekcja trapezu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min. ± 40 stopni, pion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Bezpieczeństwo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Kensington</w:t>
            </w:r>
            <w:proofErr w:type="spellEnd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Lock, zabezpieczenie hasłem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Certyfikaty i standardy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ISO9001 dla producenta sprzętu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produktu (nie trzeba załączać)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78" w:type="dxa"/>
          </w:tcPr>
          <w:p w:rsidR="00987874" w:rsidRPr="00E2598B" w:rsidRDefault="00987874" w:rsidP="005677AC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Gwarancja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projektor: 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miesięcy; lampa: 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miesięcy / 1000 godzin (w zależności co nastąpi pierwsze)</w:t>
            </w:r>
          </w:p>
          <w:p w:rsidR="00987874" w:rsidRPr="00417A02" w:rsidRDefault="00987874" w:rsidP="00987874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wymagana jest polska gwarancja producenta, potwierdzona pismem autoryzowanego przedstawiciela producenta na terenie Polski, że produkt objęty jest polską gwarancją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wezwanie Zamawiającego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78" w:type="dxa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Inne wymagania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menu projektora w języku polskim, wsparcie technologii 3D, zużycie energii w trybie czuwania poniżej 1W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bezfiltorwa</w:t>
            </w:r>
            <w:proofErr w:type="spellEnd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konstrukcja projektora (brak konieczności wymiany elementów eksploatacyjnych innych niż lampa)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oświadczenie przedstawiciela producenta na terenie Polski, mówiące o dostępności materiałów eksploatacyjnych co najmniej przez okres 60 miesięcy od daty dostawy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wezwanie Zamawiającego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78" w:type="dxa"/>
          </w:tcPr>
          <w:p w:rsidR="00987874" w:rsidRPr="00417A02" w:rsidRDefault="00987874" w:rsidP="00567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Uchwyt ścienny do projektora: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ramię projektora do krótkiej projekcji, dedykowane do zaoferowanego projektora lub uniwersalne, umożliwiające regulację projektora odpowiednio do tablicy (uzyskanie obrazu 80 cali), okablowanie do projektora wewnątrz ramienia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montaż ramienia do ściany przy zachowaniu maksymalnej sztywności (minimum na 4 śruby).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musi zapewniać możliwość montażu projektora o wadze do 5 kg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78" w:type="dxa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Wymagane okablowanie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przedłużacz zasilania (min. 5 metra)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HDMI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(min. 10 metrów)</w:t>
            </w:r>
          </w:p>
        </w:tc>
      </w:tr>
    </w:tbl>
    <w:p w:rsidR="00000F26" w:rsidRPr="00895E37" w:rsidRDefault="00000F26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00F26" w:rsidRPr="00895E37" w:rsidRDefault="00000F26" w:rsidP="00000F2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000F26" w:rsidRPr="00895E37" w:rsidRDefault="00000F26" w:rsidP="00000F2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bookmarkStart w:id="0" w:name="_GoBack"/>
      <w:bookmarkEnd w:id="0"/>
    </w:p>
    <w:p w:rsidR="00000F26" w:rsidRPr="00895E37" w:rsidRDefault="00000F26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95E37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000F26" w:rsidRPr="00895E37" w:rsidRDefault="00000F26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F26" w:rsidRPr="00895E37" w:rsidRDefault="00000F26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F26" w:rsidRPr="00895E37" w:rsidRDefault="00000F26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F26" w:rsidRPr="00895E37" w:rsidRDefault="00000F26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598B" w:rsidRPr="00895E37" w:rsidRDefault="00E2598B" w:rsidP="006147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sectPr w:rsidR="00E2598B" w:rsidRPr="00895E37" w:rsidSect="00227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5CBB"/>
    <w:multiLevelType w:val="hybridMultilevel"/>
    <w:tmpl w:val="678C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1FA3"/>
    <w:multiLevelType w:val="hybridMultilevel"/>
    <w:tmpl w:val="334EA158"/>
    <w:lvl w:ilvl="0" w:tplc="0C36F0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7F"/>
    <w:rsid w:val="00000F26"/>
    <w:rsid w:val="0017062F"/>
    <w:rsid w:val="0022737F"/>
    <w:rsid w:val="002376A2"/>
    <w:rsid w:val="003F07CF"/>
    <w:rsid w:val="00417A02"/>
    <w:rsid w:val="0044487E"/>
    <w:rsid w:val="004A7AA5"/>
    <w:rsid w:val="004C5006"/>
    <w:rsid w:val="004E51B4"/>
    <w:rsid w:val="005527D5"/>
    <w:rsid w:val="00592334"/>
    <w:rsid w:val="005F60B0"/>
    <w:rsid w:val="0061474A"/>
    <w:rsid w:val="00664FA7"/>
    <w:rsid w:val="00675FA7"/>
    <w:rsid w:val="00757C1E"/>
    <w:rsid w:val="00766844"/>
    <w:rsid w:val="007E6950"/>
    <w:rsid w:val="00815C88"/>
    <w:rsid w:val="008209E8"/>
    <w:rsid w:val="008819B0"/>
    <w:rsid w:val="00895E37"/>
    <w:rsid w:val="008B4A6E"/>
    <w:rsid w:val="00941DE8"/>
    <w:rsid w:val="00952411"/>
    <w:rsid w:val="00983229"/>
    <w:rsid w:val="00987874"/>
    <w:rsid w:val="009B7580"/>
    <w:rsid w:val="00B27C8E"/>
    <w:rsid w:val="00B34B0B"/>
    <w:rsid w:val="00B42534"/>
    <w:rsid w:val="00BD525B"/>
    <w:rsid w:val="00BD547E"/>
    <w:rsid w:val="00D11542"/>
    <w:rsid w:val="00D54FB1"/>
    <w:rsid w:val="00DB395D"/>
    <w:rsid w:val="00E2598B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3F3A9-F281-46C3-BFC1-FFF0300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273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2737F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E3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E37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E3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Maciej Bojanowski</cp:lastModifiedBy>
  <cp:revision>2</cp:revision>
  <dcterms:created xsi:type="dcterms:W3CDTF">2018-05-23T09:02:00Z</dcterms:created>
  <dcterms:modified xsi:type="dcterms:W3CDTF">2018-05-23T09:02:00Z</dcterms:modified>
</cp:coreProperties>
</file>