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1080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427625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211A08">
              <w:rPr>
                <w:rFonts w:ascii="Arial" w:hAnsi="Arial" w:cs="Arial"/>
                <w:sz w:val="16"/>
                <w:szCs w:val="16"/>
              </w:rPr>
              <w:t>9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DBE" w:rsidRPr="00F83DBE" w:rsidRDefault="00F83DBE" w:rsidP="00427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</w:t>
            </w:r>
            <w:r w:rsidR="00427625">
              <w:rPr>
                <w:rFonts w:ascii="Arial" w:hAnsi="Arial" w:cs="Arial"/>
                <w:sz w:val="16"/>
                <w:szCs w:val="16"/>
              </w:rPr>
              <w:t xml:space="preserve"> umożliwić wyświetlenie obrazu 9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0” z odległości nie większej niż </w:t>
            </w:r>
            <w:r w:rsidR="00427625">
              <w:rPr>
                <w:rFonts w:ascii="Arial" w:hAnsi="Arial" w:cs="Arial"/>
                <w:sz w:val="16"/>
                <w:szCs w:val="16"/>
              </w:rPr>
              <w:t>60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285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3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DA311D"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26" w:rsidRDefault="00A72026" w:rsidP="00061538">
      <w:pPr>
        <w:spacing w:after="0" w:line="240" w:lineRule="auto"/>
      </w:pPr>
      <w:r>
        <w:separator/>
      </w:r>
    </w:p>
  </w:endnote>
  <w:endnote w:type="continuationSeparator" w:id="0">
    <w:p w:rsidR="00A72026" w:rsidRDefault="00A72026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26" w:rsidRDefault="00A72026" w:rsidP="00061538">
      <w:pPr>
        <w:spacing w:after="0" w:line="240" w:lineRule="auto"/>
      </w:pPr>
      <w:r>
        <w:separator/>
      </w:r>
    </w:p>
  </w:footnote>
  <w:footnote w:type="continuationSeparator" w:id="0">
    <w:p w:rsidR="00A72026" w:rsidRDefault="00A72026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5A52"/>
    <w:rsid w:val="000360E1"/>
    <w:rsid w:val="00061538"/>
    <w:rsid w:val="00073D6A"/>
    <w:rsid w:val="0012012E"/>
    <w:rsid w:val="00132B4B"/>
    <w:rsid w:val="0017062F"/>
    <w:rsid w:val="001F7966"/>
    <w:rsid w:val="00211A08"/>
    <w:rsid w:val="0022737F"/>
    <w:rsid w:val="002376A2"/>
    <w:rsid w:val="0028592E"/>
    <w:rsid w:val="00295EE0"/>
    <w:rsid w:val="002B7D70"/>
    <w:rsid w:val="003B4EDC"/>
    <w:rsid w:val="003F07CF"/>
    <w:rsid w:val="00417A02"/>
    <w:rsid w:val="00427625"/>
    <w:rsid w:val="0044487E"/>
    <w:rsid w:val="004A7AA5"/>
    <w:rsid w:val="004C5006"/>
    <w:rsid w:val="004E51B4"/>
    <w:rsid w:val="005048C7"/>
    <w:rsid w:val="005226A8"/>
    <w:rsid w:val="005527D5"/>
    <w:rsid w:val="005A48F9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61C02"/>
    <w:rsid w:val="00A72026"/>
    <w:rsid w:val="00AA5A0D"/>
    <w:rsid w:val="00B20824"/>
    <w:rsid w:val="00B27C8E"/>
    <w:rsid w:val="00B34B0B"/>
    <w:rsid w:val="00B374EA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A311D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C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2019-02-12T14:52:00Z</dcterms:modified>
</cp:coreProperties>
</file>