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132B4B">
        <w:rPr>
          <w:rFonts w:ascii="Arial" w:hAnsi="Arial" w:cs="Arial"/>
          <w:sz w:val="16"/>
          <w:szCs w:val="16"/>
        </w:rPr>
        <w:t xml:space="preserve"> krótkoogniskowy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F83DBE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7F08AF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35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F669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</w:t>
            </w:r>
            <w:r w:rsidR="00F669A9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>000:1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>XGA 1024 x 768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(wymagany format 4:3)</w:t>
            </w:r>
          </w:p>
          <w:p w:rsidR="00F83DBE" w:rsidRPr="00F83DBE" w:rsidRDefault="00F83DBE" w:rsidP="00384C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Projektor musi umożliwić wyświetlenie obrazu 80” z odległości nie większej niż </w:t>
            </w:r>
            <w:r w:rsidR="00384CAA">
              <w:rPr>
                <w:rFonts w:ascii="Arial" w:hAnsi="Arial" w:cs="Arial"/>
                <w:sz w:val="16"/>
                <w:szCs w:val="16"/>
              </w:rPr>
              <w:t>105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DA00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 w:rsidR="00DA00E0">
              <w:rPr>
                <w:rFonts w:ascii="Arial" w:hAnsi="Arial" w:cs="Arial"/>
                <w:sz w:val="16"/>
                <w:szCs w:val="16"/>
              </w:rPr>
              <w:t>3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7045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 w:rsidR="00704563">
              <w:rPr>
                <w:rFonts w:ascii="Arial" w:hAnsi="Arial" w:cs="Arial"/>
                <w:sz w:val="16"/>
                <w:szCs w:val="16"/>
              </w:rPr>
              <w:t>7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 w:rsidR="007F08AF"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 w:rsidR="00704563">
              <w:rPr>
                <w:rFonts w:ascii="Arial" w:hAnsi="Arial" w:cs="Arial"/>
                <w:sz w:val="16"/>
                <w:szCs w:val="16"/>
              </w:rPr>
              <w:t>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000 godzin (w trybie maksymalnej jasności), min. </w:t>
            </w:r>
            <w:r w:rsidR="007F08AF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C73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</w:t>
            </w:r>
            <w:r w:rsidR="00C73CB6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HDMI (1.4a z obsługą 3D),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VGA (YPbPr/RGB),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RS232 (zdalne zarządzanie), </w:t>
            </w:r>
            <w:r w:rsidR="00C73CB6">
              <w:rPr>
                <w:rFonts w:ascii="Arial" w:hAnsi="Arial" w:cs="Arial"/>
                <w:sz w:val="16"/>
                <w:szCs w:val="16"/>
              </w:rPr>
              <w:t>min. 1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 w:rsidR="00C5034E">
              <w:rPr>
                <w:rFonts w:ascii="Arial" w:hAnsi="Arial" w:cs="Arial"/>
                <w:sz w:val="16"/>
                <w:szCs w:val="16"/>
              </w:rPr>
              <w:t>-A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7045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</w:t>
            </w:r>
            <w:r w:rsidR="00704563">
              <w:rPr>
                <w:rFonts w:ascii="Arial" w:hAnsi="Arial" w:cs="Arial"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1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 w:rsidR="00EE1BA5">
              <w:rPr>
                <w:rFonts w:ascii="Arial" w:hAnsi="Arial" w:cs="Arial"/>
                <w:sz w:val="16"/>
                <w:szCs w:val="16"/>
              </w:rPr>
              <w:t>1</w:t>
            </w:r>
            <w:bookmarkStart w:id="0" w:name="_GoBack"/>
            <w:bookmarkEnd w:id="0"/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="00EE1BA5">
              <w:rPr>
                <w:rFonts w:ascii="Arial" w:hAnsi="Arial" w:cs="Arial"/>
                <w:sz w:val="16"/>
                <w:szCs w:val="16"/>
              </w:rPr>
              <w:t>3</w:t>
            </w:r>
            <w:r w:rsidR="00C5034E">
              <w:rPr>
                <w:rFonts w:ascii="Arial" w:hAnsi="Arial" w:cs="Arial"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F83DBE" w:rsidRPr="00F83DBE" w:rsidRDefault="00E80E62" w:rsidP="00D91A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 w:rsidR="00D91A42">
              <w:rPr>
                <w:rFonts w:ascii="Arial" w:hAnsi="Arial" w:cs="Arial"/>
                <w:sz w:val="16"/>
                <w:szCs w:val="16"/>
              </w:rPr>
              <w:t>20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:rsidR="00A05963" w:rsidRPr="00F83DBE" w:rsidRDefault="00A05963" w:rsidP="00403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 w:rsidR="004038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:rsidR="00F83DBE" w:rsidRDefault="00F83DBE" w:rsidP="00E80E62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Gwarancja projektor: min. </w:t>
            </w:r>
            <w:r w:rsidR="00403869"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F83DBE">
              <w:rPr>
                <w:rFonts w:ascii="Arial" w:hAnsi="Arial" w:cs="Arial"/>
                <w:sz w:val="16"/>
                <w:szCs w:val="16"/>
              </w:rPr>
              <w:t>m</w:t>
            </w:r>
            <w:r w:rsidR="00403869">
              <w:rPr>
                <w:rFonts w:ascii="Arial" w:hAnsi="Arial" w:cs="Arial"/>
                <w:sz w:val="16"/>
                <w:szCs w:val="16"/>
              </w:rPr>
              <w:t>iesiące</w:t>
            </w:r>
            <w:r w:rsidRPr="00F83DBE">
              <w:rPr>
                <w:rFonts w:ascii="Arial" w:hAnsi="Arial" w:cs="Arial"/>
                <w:sz w:val="16"/>
                <w:szCs w:val="16"/>
              </w:rPr>
              <w:t>; lampa: min. 12 miesięcy lub 1000 godzin (w zależności co nastąpi pierwsze).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7CC1" w:rsidRDefault="00D37CC1" w:rsidP="00D37C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37CC1" w:rsidRPr="00F83DBE" w:rsidRDefault="00D37CC1" w:rsidP="00D37CC1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="00E80E62"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80E62">
        <w:trPr>
          <w:trHeight w:val="639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:rsidR="004F2AF1" w:rsidRDefault="004F2AF1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AF1">
              <w:rPr>
                <w:rFonts w:ascii="Arial" w:hAnsi="Arial" w:cs="Arial"/>
                <w:sz w:val="16"/>
                <w:szCs w:val="16"/>
              </w:rPr>
              <w:t>Uchwyt ścienny do projektora: ramię projektora do krótkiej projekcji, dedykowane do zaoferowanego projektora lub uniwersalne, umożliwiające regulację projektora odpowiednio do tablicy (uzyskanie obrazu 80 cali), okablowanie do projektora wewnątrz ramienia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F2AF1">
              <w:rPr>
                <w:rFonts w:ascii="Arial" w:hAnsi="Arial" w:cs="Arial"/>
                <w:sz w:val="16"/>
                <w:szCs w:val="16"/>
              </w:rPr>
              <w:t xml:space="preserve"> montaż ramienia do ściany przy zachowaniu maksymalnej sztywności (minimum na 4 śruby).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83DBE" w:rsidRPr="00F83DBE" w:rsidRDefault="004F2AF1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Uchwyt </w:t>
            </w:r>
            <w:r w:rsidRPr="004F2AF1">
              <w:rPr>
                <w:rFonts w:ascii="Arial" w:hAnsi="Arial" w:cs="Arial"/>
                <w:sz w:val="16"/>
                <w:szCs w:val="16"/>
              </w:rPr>
              <w:t>musi zapewniać możliwo</w:t>
            </w:r>
            <w:r>
              <w:rPr>
                <w:rFonts w:ascii="Arial" w:hAnsi="Arial" w:cs="Arial"/>
                <w:sz w:val="16"/>
                <w:szCs w:val="16"/>
              </w:rPr>
              <w:t xml:space="preserve">ść montażu projektora o wadze co najmniej </w:t>
            </w:r>
            <w:r w:rsidRPr="004F2AF1">
              <w:rPr>
                <w:rFonts w:ascii="Arial" w:hAnsi="Arial" w:cs="Arial"/>
                <w:sz w:val="16"/>
                <w:szCs w:val="16"/>
              </w:rPr>
              <w:t>5 kg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:rsidR="00E80E62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C9" w:rsidRDefault="00903FC9" w:rsidP="00061538">
      <w:pPr>
        <w:spacing w:after="0" w:line="240" w:lineRule="auto"/>
      </w:pPr>
      <w:r>
        <w:separator/>
      </w:r>
    </w:p>
  </w:endnote>
  <w:endnote w:type="continuationSeparator" w:id="0">
    <w:p w:rsidR="00903FC9" w:rsidRDefault="00903FC9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C9" w:rsidRDefault="00903FC9" w:rsidP="00061538">
      <w:pPr>
        <w:spacing w:after="0" w:line="240" w:lineRule="auto"/>
      </w:pPr>
      <w:r>
        <w:separator/>
      </w:r>
    </w:p>
  </w:footnote>
  <w:footnote w:type="continuationSeparator" w:id="0">
    <w:p w:rsidR="00903FC9" w:rsidRDefault="00903FC9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360E1"/>
    <w:rsid w:val="00061538"/>
    <w:rsid w:val="0012012E"/>
    <w:rsid w:val="00132B4B"/>
    <w:rsid w:val="0017062F"/>
    <w:rsid w:val="001F7966"/>
    <w:rsid w:val="0022737F"/>
    <w:rsid w:val="002376A2"/>
    <w:rsid w:val="00242F28"/>
    <w:rsid w:val="00295EE0"/>
    <w:rsid w:val="00384CAA"/>
    <w:rsid w:val="003B4EDC"/>
    <w:rsid w:val="003F07CF"/>
    <w:rsid w:val="00403869"/>
    <w:rsid w:val="00417A02"/>
    <w:rsid w:val="0044487E"/>
    <w:rsid w:val="004A7AA5"/>
    <w:rsid w:val="004C5006"/>
    <w:rsid w:val="004E51B4"/>
    <w:rsid w:val="004F2AF1"/>
    <w:rsid w:val="005226A8"/>
    <w:rsid w:val="005527D5"/>
    <w:rsid w:val="005F60B0"/>
    <w:rsid w:val="0061265F"/>
    <w:rsid w:val="0061474A"/>
    <w:rsid w:val="00617D46"/>
    <w:rsid w:val="00664FA7"/>
    <w:rsid w:val="00675FA7"/>
    <w:rsid w:val="00694349"/>
    <w:rsid w:val="00704563"/>
    <w:rsid w:val="007361F0"/>
    <w:rsid w:val="00757C1E"/>
    <w:rsid w:val="00766844"/>
    <w:rsid w:val="00775C86"/>
    <w:rsid w:val="007E6950"/>
    <w:rsid w:val="007F08AF"/>
    <w:rsid w:val="00815C88"/>
    <w:rsid w:val="008209E8"/>
    <w:rsid w:val="008819B0"/>
    <w:rsid w:val="00895E37"/>
    <w:rsid w:val="008B4A6E"/>
    <w:rsid w:val="00903FC9"/>
    <w:rsid w:val="00952411"/>
    <w:rsid w:val="00983229"/>
    <w:rsid w:val="009873D5"/>
    <w:rsid w:val="00996091"/>
    <w:rsid w:val="009B7580"/>
    <w:rsid w:val="00A05963"/>
    <w:rsid w:val="00A224AE"/>
    <w:rsid w:val="00AA5A0D"/>
    <w:rsid w:val="00B20824"/>
    <w:rsid w:val="00B27C8E"/>
    <w:rsid w:val="00B34B0B"/>
    <w:rsid w:val="00B42534"/>
    <w:rsid w:val="00BB2156"/>
    <w:rsid w:val="00BD525B"/>
    <w:rsid w:val="00BD547E"/>
    <w:rsid w:val="00BF12F1"/>
    <w:rsid w:val="00C5034E"/>
    <w:rsid w:val="00C73CB6"/>
    <w:rsid w:val="00CE60D3"/>
    <w:rsid w:val="00D11542"/>
    <w:rsid w:val="00D37CC1"/>
    <w:rsid w:val="00D54FB1"/>
    <w:rsid w:val="00D91A42"/>
    <w:rsid w:val="00DA00E0"/>
    <w:rsid w:val="00DB395D"/>
    <w:rsid w:val="00DE2D6C"/>
    <w:rsid w:val="00E2598B"/>
    <w:rsid w:val="00E47FF8"/>
    <w:rsid w:val="00E80E62"/>
    <w:rsid w:val="00EB7E95"/>
    <w:rsid w:val="00EE1BA5"/>
    <w:rsid w:val="00EE2996"/>
    <w:rsid w:val="00F669A9"/>
    <w:rsid w:val="00F8194D"/>
    <w:rsid w:val="00F819ED"/>
    <w:rsid w:val="00F83DBE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4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2019-02-12T15:03:00Z</dcterms:modified>
</cp:coreProperties>
</file>